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49B6" w14:textId="77777777" w:rsidR="003C2D30" w:rsidRDefault="00966B40" w:rsidP="001032D3">
      <w:pPr>
        <w:rPr>
          <w:bdr w:val="none" w:sz="0" w:space="0" w:color="auto" w:frame="1"/>
        </w:rPr>
      </w:pPr>
      <w:r w:rsidRPr="001D31CD">
        <w:rPr>
          <w:bdr w:val="none" w:sz="0" w:space="0" w:color="auto" w:frame="1"/>
        </w:rPr>
        <w:fldChar w:fldCharType="begin"/>
      </w:r>
      <w:r w:rsidRPr="001D31CD">
        <w:rPr>
          <w:bdr w:val="none" w:sz="0" w:space="0" w:color="auto" w:frame="1"/>
        </w:rPr>
        <w:instrText xml:space="preserve"> INCLUDEPICTURE "https://lh6.googleusercontent.com/aFCdr98GlNgAwy4dHBS4mY3kJU4wxrd5kNKPBRlKnT-wjIlbO0FvqEWTHzl_qp5IR2EO-tyQzn8pGEi8BtO-Osq5JqnSpmbJPL1ziXRAOsnZlJb8ORdhO-ZvCSS9oiP2HKTnpvEk" \* MERGEFORMATINET </w:instrText>
      </w:r>
      <w:r w:rsidRPr="001D31CD">
        <w:rPr>
          <w:bdr w:val="none" w:sz="0" w:space="0" w:color="auto" w:frame="1"/>
        </w:rPr>
        <w:fldChar w:fldCharType="separate"/>
      </w:r>
      <w:r w:rsidRPr="001D31CD">
        <w:rPr>
          <w:noProof/>
          <w:bdr w:val="none" w:sz="0" w:space="0" w:color="auto" w:frame="1"/>
        </w:rPr>
        <w:drawing>
          <wp:inline distT="0" distB="0" distL="0" distR="0" wp14:anchorId="514ED4DF" wp14:editId="24006543">
            <wp:extent cx="5943600" cy="1983105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1CD">
        <w:rPr>
          <w:bdr w:val="none" w:sz="0" w:space="0" w:color="auto" w:frame="1"/>
        </w:rPr>
        <w:fldChar w:fldCharType="end"/>
      </w:r>
    </w:p>
    <w:p w14:paraId="439EBA76" w14:textId="77777777" w:rsidR="0039462C" w:rsidRPr="00C5231E" w:rsidRDefault="0039462C" w:rsidP="0039462C">
      <w:pPr>
        <w:jc w:val="center"/>
        <w:rPr>
          <w:color w:val="000000" w:themeColor="text1"/>
          <w:sz w:val="28"/>
          <w:szCs w:val="28"/>
        </w:rPr>
      </w:pPr>
      <w:r w:rsidRPr="00C5231E">
        <w:rPr>
          <w:color w:val="000000" w:themeColor="text1"/>
          <w:sz w:val="28"/>
          <w:szCs w:val="28"/>
        </w:rPr>
        <w:t>05/</w:t>
      </w:r>
      <w:r w:rsidR="004921D5" w:rsidRPr="00C5231E">
        <w:rPr>
          <w:color w:val="000000" w:themeColor="text1"/>
          <w:sz w:val="28"/>
          <w:szCs w:val="28"/>
        </w:rPr>
        <w:t>18</w:t>
      </w:r>
      <w:r w:rsidRPr="00C5231E">
        <w:rPr>
          <w:color w:val="000000" w:themeColor="text1"/>
          <w:sz w:val="28"/>
          <w:szCs w:val="28"/>
        </w:rPr>
        <w:t>/2020 Weeks Average</w:t>
      </w:r>
    </w:p>
    <w:p w14:paraId="3B6417B6" w14:textId="77777777" w:rsidR="0039462C" w:rsidRDefault="0039462C" w:rsidP="0039462C">
      <w:pPr>
        <w:jc w:val="center"/>
      </w:pPr>
    </w:p>
    <w:p w14:paraId="09EE689A" w14:textId="77777777" w:rsidR="00235E5E" w:rsidRDefault="004921D5" w:rsidP="00A423E3">
      <w:r>
        <w:t xml:space="preserve">This Memorial Day weekend </w:t>
      </w:r>
      <w:r w:rsidR="008520E5">
        <w:t>we saw gas prices lower than 2004, but not quite lower than 2003 like expected</w:t>
      </w:r>
      <w:r>
        <w:t xml:space="preserve">. </w:t>
      </w:r>
      <w:r w:rsidR="00A423E3" w:rsidRPr="00A423E3">
        <w:t xml:space="preserve">The highest </w:t>
      </w:r>
      <w:r>
        <w:t xml:space="preserve">concentration of fuel </w:t>
      </w:r>
      <w:r w:rsidR="00A423E3" w:rsidRPr="00A423E3">
        <w:t xml:space="preserve">prices </w:t>
      </w:r>
      <w:r>
        <w:t>being sold is o</w:t>
      </w:r>
      <w:r w:rsidR="00A423E3" w:rsidRPr="00A423E3">
        <w:t xml:space="preserve">n the west coast with Oregon and Washington following just behind California’s </w:t>
      </w:r>
      <w:r w:rsidR="00D42516">
        <w:t>prices</w:t>
      </w:r>
      <w:r>
        <w:t>.</w:t>
      </w:r>
      <w:r w:rsidR="00A423E3" w:rsidRPr="00A423E3">
        <w:t xml:space="preserve"> </w:t>
      </w:r>
      <w:r>
        <w:t>Now a</w:t>
      </w:r>
      <w:r w:rsidR="00A423E3" w:rsidRPr="00A423E3">
        <w:t>ccording to gas buddy, the majority of prices being above $2.2</w:t>
      </w:r>
      <w:r>
        <w:t>5</w:t>
      </w:r>
      <w:r w:rsidR="00A423E3" w:rsidRPr="00A423E3">
        <w:t xml:space="preserve"> a gallon</w:t>
      </w:r>
      <w:r w:rsidR="00923351">
        <w:t xml:space="preserve"> on in Oregon and Washington</w:t>
      </w:r>
      <w:r w:rsidR="00A423E3" w:rsidRPr="00A423E3">
        <w:t xml:space="preserve">. As AAA Gas Prices show, </w:t>
      </w:r>
      <w:r>
        <w:t>we are on a steady incline into normal fuel prices. But what will be the new normal,</w:t>
      </w:r>
      <w:r w:rsidR="00A423E3" w:rsidRPr="00A423E3">
        <w:t xml:space="preserve"> </w:t>
      </w:r>
      <w:r>
        <w:t xml:space="preserve">lower or higher than what we were used to? </w:t>
      </w:r>
    </w:p>
    <w:p w14:paraId="1A2F9A5D" w14:textId="77777777" w:rsidR="001032D3" w:rsidRDefault="001032D3" w:rsidP="00A423E3"/>
    <w:p w14:paraId="2F41A107" w14:textId="77777777" w:rsidR="00A423E3" w:rsidRDefault="001032D3" w:rsidP="001032D3">
      <w:pPr>
        <w:tabs>
          <w:tab w:val="left" w:pos="2880"/>
        </w:tabs>
        <w:jc w:val="center"/>
      </w:pPr>
      <w:r>
        <w:t xml:space="preserve">Rank Week Average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00A4" w14:paraId="3A713454" w14:textId="77777777" w:rsidTr="00BA00A4">
        <w:tc>
          <w:tcPr>
            <w:tcW w:w="3116" w:type="dxa"/>
          </w:tcPr>
          <w:p w14:paraId="03CB48B6" w14:textId="77777777" w:rsidR="00BA00A4" w:rsidRDefault="00BA00A4" w:rsidP="00966B40">
            <w:pPr>
              <w:tabs>
                <w:tab w:val="left" w:pos="2880"/>
              </w:tabs>
            </w:pPr>
            <w:r>
              <w:t>Wholesale Price Average</w:t>
            </w:r>
          </w:p>
        </w:tc>
        <w:tc>
          <w:tcPr>
            <w:tcW w:w="3117" w:type="dxa"/>
          </w:tcPr>
          <w:p w14:paraId="28B12651" w14:textId="77777777" w:rsidR="00BA00A4" w:rsidRDefault="00BA00A4" w:rsidP="00966B40">
            <w:pPr>
              <w:tabs>
                <w:tab w:val="left" w:pos="2880"/>
              </w:tabs>
            </w:pPr>
            <w:r>
              <w:t xml:space="preserve">Wholesale Low </w:t>
            </w:r>
          </w:p>
        </w:tc>
        <w:tc>
          <w:tcPr>
            <w:tcW w:w="3117" w:type="dxa"/>
          </w:tcPr>
          <w:p w14:paraId="2F17ADBF" w14:textId="77777777" w:rsidR="00BA00A4" w:rsidRDefault="00BA00A4" w:rsidP="00966B40">
            <w:pPr>
              <w:tabs>
                <w:tab w:val="left" w:pos="2880"/>
              </w:tabs>
            </w:pPr>
            <w:r>
              <w:t>Wholesale Avg</w:t>
            </w:r>
          </w:p>
        </w:tc>
      </w:tr>
      <w:tr w:rsidR="00BA00A4" w14:paraId="6E7E19E4" w14:textId="77777777" w:rsidTr="00BA00A4">
        <w:tc>
          <w:tcPr>
            <w:tcW w:w="3116" w:type="dxa"/>
          </w:tcPr>
          <w:p w14:paraId="23F16058" w14:textId="77777777" w:rsidR="00BA00A4" w:rsidRDefault="00BA00A4" w:rsidP="00966B40">
            <w:pPr>
              <w:tabs>
                <w:tab w:val="left" w:pos="2880"/>
              </w:tabs>
            </w:pPr>
            <w:r>
              <w:t>E10</w:t>
            </w:r>
          </w:p>
        </w:tc>
        <w:tc>
          <w:tcPr>
            <w:tcW w:w="3117" w:type="dxa"/>
          </w:tcPr>
          <w:p w14:paraId="7E09E409" w14:textId="77777777" w:rsidR="00BA00A4" w:rsidRDefault="00BA00A4" w:rsidP="00966B40">
            <w:pPr>
              <w:tabs>
                <w:tab w:val="left" w:pos="2880"/>
              </w:tabs>
            </w:pPr>
            <w:r>
              <w:t>1.</w:t>
            </w:r>
            <w:r w:rsidR="004921D5">
              <w:t>15</w:t>
            </w:r>
          </w:p>
        </w:tc>
        <w:tc>
          <w:tcPr>
            <w:tcW w:w="3117" w:type="dxa"/>
          </w:tcPr>
          <w:p w14:paraId="5C7E25D4" w14:textId="77777777" w:rsidR="00BA00A4" w:rsidRDefault="00BA00A4" w:rsidP="00966B40">
            <w:pPr>
              <w:tabs>
                <w:tab w:val="left" w:pos="2880"/>
              </w:tabs>
            </w:pPr>
            <w:r>
              <w:t>1.</w:t>
            </w:r>
            <w:r w:rsidR="004921D5">
              <w:t>205</w:t>
            </w:r>
          </w:p>
        </w:tc>
      </w:tr>
      <w:tr w:rsidR="00BA00A4" w14:paraId="76B3F8E1" w14:textId="77777777" w:rsidTr="00BA00A4">
        <w:tc>
          <w:tcPr>
            <w:tcW w:w="3116" w:type="dxa"/>
          </w:tcPr>
          <w:p w14:paraId="76B444E6" w14:textId="77777777" w:rsidR="00BA00A4" w:rsidRDefault="00BA00A4" w:rsidP="00966B40">
            <w:pPr>
              <w:tabs>
                <w:tab w:val="left" w:pos="2880"/>
              </w:tabs>
            </w:pPr>
            <w:r>
              <w:t>B5</w:t>
            </w:r>
          </w:p>
        </w:tc>
        <w:tc>
          <w:tcPr>
            <w:tcW w:w="3117" w:type="dxa"/>
          </w:tcPr>
          <w:p w14:paraId="7CC41C2B" w14:textId="77777777" w:rsidR="00BA00A4" w:rsidRDefault="00BA00A4" w:rsidP="00966B40">
            <w:pPr>
              <w:tabs>
                <w:tab w:val="left" w:pos="2880"/>
              </w:tabs>
            </w:pPr>
            <w:r>
              <w:t>.</w:t>
            </w:r>
            <w:r w:rsidR="004921D5">
              <w:t>9834</w:t>
            </w:r>
          </w:p>
        </w:tc>
        <w:tc>
          <w:tcPr>
            <w:tcW w:w="3117" w:type="dxa"/>
          </w:tcPr>
          <w:p w14:paraId="0A799E20" w14:textId="77777777" w:rsidR="00BA00A4" w:rsidRDefault="004921D5" w:rsidP="00966B40">
            <w:pPr>
              <w:tabs>
                <w:tab w:val="left" w:pos="2880"/>
              </w:tabs>
            </w:pPr>
            <w:r>
              <w:t>1.023</w:t>
            </w:r>
          </w:p>
        </w:tc>
      </w:tr>
    </w:tbl>
    <w:p w14:paraId="715FC5F9" w14:textId="77777777" w:rsidR="00966B40" w:rsidRDefault="00966B40" w:rsidP="00966B40">
      <w:pPr>
        <w:tabs>
          <w:tab w:val="left" w:pos="2880"/>
        </w:tabs>
      </w:pPr>
    </w:p>
    <w:p w14:paraId="023AD394" w14:textId="77777777" w:rsidR="00235E5E" w:rsidRDefault="001032D3" w:rsidP="001032D3">
      <w:pPr>
        <w:tabs>
          <w:tab w:val="left" w:pos="2880"/>
        </w:tabs>
        <w:jc w:val="center"/>
      </w:pPr>
      <w:r>
        <w:t xml:space="preserve">Retail Week Average 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2204"/>
        <w:gridCol w:w="2149"/>
        <w:gridCol w:w="2505"/>
        <w:gridCol w:w="2505"/>
      </w:tblGrid>
      <w:tr w:rsidR="00BA00A4" w14:paraId="0F6DABDB" w14:textId="77777777" w:rsidTr="00BA00A4">
        <w:trPr>
          <w:trHeight w:val="553"/>
        </w:trPr>
        <w:tc>
          <w:tcPr>
            <w:tcW w:w="2204" w:type="dxa"/>
          </w:tcPr>
          <w:p w14:paraId="25D37A75" w14:textId="77777777" w:rsidR="00BA00A4" w:rsidRDefault="00BA00A4" w:rsidP="00966B40">
            <w:pPr>
              <w:tabs>
                <w:tab w:val="left" w:pos="2880"/>
              </w:tabs>
            </w:pPr>
            <w:r>
              <w:t>Retail Price Average</w:t>
            </w:r>
          </w:p>
        </w:tc>
        <w:tc>
          <w:tcPr>
            <w:tcW w:w="2149" w:type="dxa"/>
          </w:tcPr>
          <w:p w14:paraId="3D0D9BFE" w14:textId="77777777" w:rsidR="00BA00A4" w:rsidRDefault="00BA00A4" w:rsidP="00966B40">
            <w:pPr>
              <w:tabs>
                <w:tab w:val="left" w:pos="2880"/>
              </w:tabs>
            </w:pPr>
            <w:r>
              <w:t>National</w:t>
            </w:r>
          </w:p>
        </w:tc>
        <w:tc>
          <w:tcPr>
            <w:tcW w:w="2505" w:type="dxa"/>
          </w:tcPr>
          <w:p w14:paraId="4E2646AD" w14:textId="77777777" w:rsidR="00BA00A4" w:rsidRDefault="00BA00A4" w:rsidP="00966B40">
            <w:pPr>
              <w:tabs>
                <w:tab w:val="left" w:pos="2880"/>
              </w:tabs>
            </w:pPr>
            <w:r>
              <w:t>Oregon</w:t>
            </w:r>
          </w:p>
        </w:tc>
        <w:tc>
          <w:tcPr>
            <w:tcW w:w="2505" w:type="dxa"/>
          </w:tcPr>
          <w:p w14:paraId="2D7227CD" w14:textId="77777777" w:rsidR="00BA00A4" w:rsidRDefault="00BA00A4" w:rsidP="00966B40">
            <w:pPr>
              <w:tabs>
                <w:tab w:val="left" w:pos="2880"/>
              </w:tabs>
            </w:pPr>
            <w:r>
              <w:t>Washington</w:t>
            </w:r>
          </w:p>
        </w:tc>
      </w:tr>
      <w:tr w:rsidR="00BA00A4" w14:paraId="544812DE" w14:textId="77777777" w:rsidTr="00BA00A4">
        <w:trPr>
          <w:trHeight w:val="276"/>
        </w:trPr>
        <w:tc>
          <w:tcPr>
            <w:tcW w:w="2204" w:type="dxa"/>
          </w:tcPr>
          <w:p w14:paraId="7D66B5DD" w14:textId="77777777" w:rsidR="00BA00A4" w:rsidRDefault="00BA00A4" w:rsidP="00966B40">
            <w:pPr>
              <w:tabs>
                <w:tab w:val="left" w:pos="2880"/>
              </w:tabs>
            </w:pPr>
            <w:r>
              <w:t>E10</w:t>
            </w:r>
          </w:p>
        </w:tc>
        <w:tc>
          <w:tcPr>
            <w:tcW w:w="2149" w:type="dxa"/>
          </w:tcPr>
          <w:p w14:paraId="685BE029" w14:textId="77777777" w:rsidR="00BA00A4" w:rsidRDefault="00BA00A4" w:rsidP="00966B40">
            <w:pPr>
              <w:tabs>
                <w:tab w:val="left" w:pos="2880"/>
              </w:tabs>
            </w:pPr>
            <w:r>
              <w:t>1</w:t>
            </w:r>
            <w:r w:rsidR="004921D5">
              <w:t>.894</w:t>
            </w:r>
          </w:p>
        </w:tc>
        <w:tc>
          <w:tcPr>
            <w:tcW w:w="2505" w:type="dxa"/>
          </w:tcPr>
          <w:p w14:paraId="27B36EEB" w14:textId="77777777" w:rsidR="00BA00A4" w:rsidRDefault="00BA00A4" w:rsidP="00966B40">
            <w:pPr>
              <w:tabs>
                <w:tab w:val="left" w:pos="2880"/>
              </w:tabs>
            </w:pPr>
            <w:r>
              <w:t>2.3</w:t>
            </w:r>
            <w:r w:rsidR="004921D5">
              <w:t>98</w:t>
            </w:r>
          </w:p>
        </w:tc>
        <w:tc>
          <w:tcPr>
            <w:tcW w:w="2505" w:type="dxa"/>
          </w:tcPr>
          <w:p w14:paraId="29B30809" w14:textId="77777777" w:rsidR="00BA00A4" w:rsidRDefault="00BA00A4" w:rsidP="00966B40">
            <w:pPr>
              <w:tabs>
                <w:tab w:val="left" w:pos="2880"/>
              </w:tabs>
            </w:pPr>
            <w:r>
              <w:t>2.</w:t>
            </w:r>
            <w:r w:rsidR="004921D5">
              <w:t>468</w:t>
            </w:r>
          </w:p>
        </w:tc>
      </w:tr>
      <w:tr w:rsidR="00BA00A4" w14:paraId="3363481C" w14:textId="77777777" w:rsidTr="00BA00A4">
        <w:trPr>
          <w:trHeight w:val="262"/>
        </w:trPr>
        <w:tc>
          <w:tcPr>
            <w:tcW w:w="2204" w:type="dxa"/>
          </w:tcPr>
          <w:p w14:paraId="6C08A111" w14:textId="77777777" w:rsidR="00BA00A4" w:rsidRDefault="00BA00A4" w:rsidP="00966B40">
            <w:pPr>
              <w:tabs>
                <w:tab w:val="left" w:pos="2880"/>
              </w:tabs>
            </w:pPr>
            <w:r>
              <w:t>B5</w:t>
            </w:r>
          </w:p>
        </w:tc>
        <w:tc>
          <w:tcPr>
            <w:tcW w:w="2149" w:type="dxa"/>
          </w:tcPr>
          <w:p w14:paraId="221801E3" w14:textId="77777777" w:rsidR="00BA00A4" w:rsidRDefault="00BA00A4" w:rsidP="00966B40">
            <w:pPr>
              <w:tabs>
                <w:tab w:val="left" w:pos="2880"/>
              </w:tabs>
            </w:pPr>
            <w:r>
              <w:t>2.</w:t>
            </w:r>
            <w:r w:rsidR="004921D5">
              <w:t>412</w:t>
            </w:r>
          </w:p>
        </w:tc>
        <w:tc>
          <w:tcPr>
            <w:tcW w:w="2505" w:type="dxa"/>
          </w:tcPr>
          <w:p w14:paraId="0E0D2CEC" w14:textId="77777777" w:rsidR="00BA00A4" w:rsidRDefault="00BA00A4" w:rsidP="00966B40">
            <w:pPr>
              <w:tabs>
                <w:tab w:val="left" w:pos="2880"/>
              </w:tabs>
            </w:pPr>
            <w:r>
              <w:t>2.</w:t>
            </w:r>
            <w:r w:rsidR="004921D5">
              <w:t>561</w:t>
            </w:r>
          </w:p>
        </w:tc>
        <w:tc>
          <w:tcPr>
            <w:tcW w:w="2505" w:type="dxa"/>
          </w:tcPr>
          <w:p w14:paraId="2A8109D7" w14:textId="77777777" w:rsidR="00BA00A4" w:rsidRDefault="00BA00A4" w:rsidP="00966B40">
            <w:pPr>
              <w:tabs>
                <w:tab w:val="left" w:pos="2880"/>
              </w:tabs>
            </w:pPr>
            <w:r>
              <w:t>2.6</w:t>
            </w:r>
            <w:r w:rsidR="004921D5">
              <w:t>68</w:t>
            </w:r>
          </w:p>
        </w:tc>
      </w:tr>
    </w:tbl>
    <w:p w14:paraId="02D22D32" w14:textId="77777777" w:rsidR="00436D82" w:rsidRDefault="00436D82" w:rsidP="00966B40">
      <w:pPr>
        <w:tabs>
          <w:tab w:val="left" w:pos="2880"/>
        </w:tabs>
      </w:pPr>
    </w:p>
    <w:p w14:paraId="541C9488" w14:textId="77777777" w:rsidR="00235E5E" w:rsidRDefault="001032D3" w:rsidP="00C5231E">
      <w:pPr>
        <w:tabs>
          <w:tab w:val="left" w:pos="2880"/>
        </w:tabs>
        <w:jc w:val="center"/>
      </w:pPr>
      <w:r>
        <w:t>Taxes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193"/>
        <w:gridCol w:w="1946"/>
        <w:gridCol w:w="1833"/>
        <w:gridCol w:w="1806"/>
        <w:gridCol w:w="1579"/>
      </w:tblGrid>
      <w:tr w:rsidR="00A349EC" w14:paraId="225476C5" w14:textId="77777777" w:rsidTr="00A349EC">
        <w:trPr>
          <w:trHeight w:val="303"/>
        </w:trPr>
        <w:tc>
          <w:tcPr>
            <w:tcW w:w="2193" w:type="dxa"/>
          </w:tcPr>
          <w:p w14:paraId="677AF62E" w14:textId="77777777" w:rsidR="00A349EC" w:rsidRDefault="00A349EC" w:rsidP="00966B40">
            <w:pPr>
              <w:tabs>
                <w:tab w:val="left" w:pos="2880"/>
              </w:tabs>
            </w:pPr>
            <w:r>
              <w:t>Taxes</w:t>
            </w:r>
          </w:p>
        </w:tc>
        <w:tc>
          <w:tcPr>
            <w:tcW w:w="1946" w:type="dxa"/>
          </w:tcPr>
          <w:p w14:paraId="73432C35" w14:textId="77777777" w:rsidR="00A349EC" w:rsidRDefault="00A349EC" w:rsidP="00966B40">
            <w:pPr>
              <w:tabs>
                <w:tab w:val="left" w:pos="2880"/>
              </w:tabs>
            </w:pPr>
            <w:r>
              <w:t>Federal</w:t>
            </w:r>
          </w:p>
        </w:tc>
        <w:tc>
          <w:tcPr>
            <w:tcW w:w="1833" w:type="dxa"/>
          </w:tcPr>
          <w:p w14:paraId="7303E3DD" w14:textId="77777777" w:rsidR="00A349EC" w:rsidRDefault="00A349EC" w:rsidP="00966B40">
            <w:pPr>
              <w:tabs>
                <w:tab w:val="left" w:pos="2880"/>
              </w:tabs>
            </w:pPr>
            <w:r>
              <w:t>State: OR</w:t>
            </w:r>
          </w:p>
        </w:tc>
        <w:tc>
          <w:tcPr>
            <w:tcW w:w="1806" w:type="dxa"/>
          </w:tcPr>
          <w:p w14:paraId="774983CD" w14:textId="77777777" w:rsidR="00A349EC" w:rsidRDefault="00A349EC" w:rsidP="00966B40">
            <w:pPr>
              <w:tabs>
                <w:tab w:val="left" w:pos="2880"/>
              </w:tabs>
            </w:pPr>
            <w:r>
              <w:t>local</w:t>
            </w:r>
          </w:p>
        </w:tc>
        <w:tc>
          <w:tcPr>
            <w:tcW w:w="1579" w:type="dxa"/>
          </w:tcPr>
          <w:p w14:paraId="5A524CAD" w14:textId="77777777" w:rsidR="00A349EC" w:rsidRDefault="00A349EC" w:rsidP="00966B40">
            <w:pPr>
              <w:tabs>
                <w:tab w:val="left" w:pos="2880"/>
              </w:tabs>
            </w:pPr>
            <w:r>
              <w:t>State: WA</w:t>
            </w:r>
          </w:p>
        </w:tc>
      </w:tr>
      <w:tr w:rsidR="00A349EC" w14:paraId="756BB4B2" w14:textId="77777777" w:rsidTr="00A349EC">
        <w:trPr>
          <w:trHeight w:val="303"/>
        </w:trPr>
        <w:tc>
          <w:tcPr>
            <w:tcW w:w="2193" w:type="dxa"/>
          </w:tcPr>
          <w:p w14:paraId="1D5D28F4" w14:textId="77777777" w:rsidR="00A349EC" w:rsidRDefault="00A349EC" w:rsidP="00966B40">
            <w:pPr>
              <w:tabs>
                <w:tab w:val="left" w:pos="2880"/>
              </w:tabs>
            </w:pPr>
            <w:r>
              <w:t>Gas</w:t>
            </w:r>
          </w:p>
        </w:tc>
        <w:tc>
          <w:tcPr>
            <w:tcW w:w="1946" w:type="dxa"/>
          </w:tcPr>
          <w:p w14:paraId="19F8D3C3" w14:textId="77777777" w:rsidR="00A349EC" w:rsidRDefault="00A349EC" w:rsidP="00966B40">
            <w:pPr>
              <w:tabs>
                <w:tab w:val="left" w:pos="2880"/>
              </w:tabs>
            </w:pPr>
            <w:r>
              <w:t>.184</w:t>
            </w:r>
          </w:p>
        </w:tc>
        <w:tc>
          <w:tcPr>
            <w:tcW w:w="1833" w:type="dxa"/>
          </w:tcPr>
          <w:p w14:paraId="79E09F60" w14:textId="77777777" w:rsidR="00A349EC" w:rsidRDefault="00A349EC" w:rsidP="00966B40">
            <w:pPr>
              <w:tabs>
                <w:tab w:val="left" w:pos="2880"/>
              </w:tabs>
            </w:pPr>
            <w:r>
              <w:t>.36</w:t>
            </w:r>
          </w:p>
        </w:tc>
        <w:tc>
          <w:tcPr>
            <w:tcW w:w="1806" w:type="dxa"/>
          </w:tcPr>
          <w:p w14:paraId="394F2747" w14:textId="77777777" w:rsidR="00A349EC" w:rsidRDefault="00A349EC" w:rsidP="00966B40">
            <w:pPr>
              <w:tabs>
                <w:tab w:val="left" w:pos="2880"/>
              </w:tabs>
            </w:pPr>
            <w:r>
              <w:t>.0-.13</w:t>
            </w:r>
          </w:p>
        </w:tc>
        <w:tc>
          <w:tcPr>
            <w:tcW w:w="1579" w:type="dxa"/>
          </w:tcPr>
          <w:p w14:paraId="2CA29CF2" w14:textId="77777777" w:rsidR="00A349EC" w:rsidRDefault="00A349EC" w:rsidP="00966B40">
            <w:pPr>
              <w:tabs>
                <w:tab w:val="left" w:pos="2880"/>
              </w:tabs>
            </w:pPr>
            <w:r>
              <w:t>.494</w:t>
            </w:r>
          </w:p>
        </w:tc>
      </w:tr>
      <w:tr w:rsidR="00A349EC" w14:paraId="4165780F" w14:textId="77777777" w:rsidTr="00A349EC">
        <w:trPr>
          <w:trHeight w:val="287"/>
        </w:trPr>
        <w:tc>
          <w:tcPr>
            <w:tcW w:w="2193" w:type="dxa"/>
          </w:tcPr>
          <w:p w14:paraId="40000720" w14:textId="77777777" w:rsidR="00A349EC" w:rsidRDefault="00A349EC" w:rsidP="00966B40">
            <w:pPr>
              <w:tabs>
                <w:tab w:val="left" w:pos="2880"/>
              </w:tabs>
            </w:pPr>
            <w:r>
              <w:t xml:space="preserve">Diesel </w:t>
            </w:r>
          </w:p>
        </w:tc>
        <w:tc>
          <w:tcPr>
            <w:tcW w:w="1946" w:type="dxa"/>
          </w:tcPr>
          <w:p w14:paraId="5C1E3735" w14:textId="77777777" w:rsidR="00A349EC" w:rsidRDefault="00A349EC" w:rsidP="00966B40">
            <w:pPr>
              <w:tabs>
                <w:tab w:val="left" w:pos="2880"/>
              </w:tabs>
            </w:pPr>
            <w:r>
              <w:t>.244</w:t>
            </w:r>
          </w:p>
        </w:tc>
        <w:tc>
          <w:tcPr>
            <w:tcW w:w="1833" w:type="dxa"/>
          </w:tcPr>
          <w:p w14:paraId="0E38CB44" w14:textId="77777777" w:rsidR="00A349EC" w:rsidRDefault="00A349EC" w:rsidP="00966B40">
            <w:pPr>
              <w:tabs>
                <w:tab w:val="left" w:pos="2880"/>
              </w:tabs>
            </w:pPr>
            <w:r>
              <w:t>.36</w:t>
            </w:r>
          </w:p>
        </w:tc>
        <w:tc>
          <w:tcPr>
            <w:tcW w:w="1806" w:type="dxa"/>
          </w:tcPr>
          <w:p w14:paraId="33DAAF78" w14:textId="77777777" w:rsidR="00A349EC" w:rsidRDefault="00A349EC" w:rsidP="00966B40">
            <w:pPr>
              <w:tabs>
                <w:tab w:val="left" w:pos="2880"/>
              </w:tabs>
            </w:pPr>
            <w:r>
              <w:t>.0-.13</w:t>
            </w:r>
          </w:p>
        </w:tc>
        <w:tc>
          <w:tcPr>
            <w:tcW w:w="1579" w:type="dxa"/>
          </w:tcPr>
          <w:p w14:paraId="678A582C" w14:textId="77777777" w:rsidR="00A349EC" w:rsidRDefault="00A349EC" w:rsidP="00966B40">
            <w:pPr>
              <w:tabs>
                <w:tab w:val="left" w:pos="2880"/>
              </w:tabs>
            </w:pPr>
            <w:r>
              <w:t>.494</w:t>
            </w:r>
          </w:p>
        </w:tc>
      </w:tr>
    </w:tbl>
    <w:p w14:paraId="6CBBBCC0" w14:textId="77777777" w:rsidR="004F47A7" w:rsidRPr="004F47A7" w:rsidRDefault="004F47A7" w:rsidP="004F47A7">
      <w:pPr>
        <w:sectPr w:rsidR="004F47A7" w:rsidRPr="004F47A7" w:rsidSect="001F05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501C4" w14:textId="77777777" w:rsidR="004921D5" w:rsidRDefault="004921D5" w:rsidP="00966B40">
      <w:pPr>
        <w:tabs>
          <w:tab w:val="left" w:pos="2880"/>
        </w:tabs>
        <w:sectPr w:rsidR="004921D5" w:rsidSect="004F47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61AB52" w14:textId="77777777" w:rsidR="001032D3" w:rsidRPr="004F47A7" w:rsidRDefault="001032D3" w:rsidP="001032D3">
      <w:pPr>
        <w:tabs>
          <w:tab w:val="left" w:pos="2880"/>
        </w:tabs>
        <w:rPr>
          <w:sz w:val="20"/>
          <w:szCs w:val="20"/>
        </w:rPr>
      </w:pPr>
      <w:r w:rsidRPr="004F47A7">
        <w:rPr>
          <w:sz w:val="20"/>
          <w:szCs w:val="20"/>
        </w:rPr>
        <w:t>Follow Us:</w:t>
      </w:r>
    </w:p>
    <w:p w14:paraId="28F65104" w14:textId="77777777" w:rsidR="004F47A7" w:rsidRPr="008520E5" w:rsidRDefault="001032D3" w:rsidP="004F47A7">
      <w:r w:rsidRPr="004F47A7">
        <w:rPr>
          <w:sz w:val="20"/>
          <w:szCs w:val="20"/>
        </w:rPr>
        <w:t>Twitter:</w:t>
      </w:r>
      <w:r w:rsidR="00C5231E" w:rsidRPr="004F47A7">
        <w:rPr>
          <w:sz w:val="20"/>
          <w:szCs w:val="20"/>
        </w:rPr>
        <w:t xml:space="preserve"> </w:t>
      </w:r>
      <w:hyperlink r:id="rId8" w:history="1">
        <w:r w:rsidR="008520E5" w:rsidRPr="008520E5">
          <w:rPr>
            <w:rStyle w:val="Hyperlink"/>
            <w:sz w:val="20"/>
            <w:szCs w:val="20"/>
          </w:rPr>
          <w:t>https://twitter.c</w:t>
        </w:r>
        <w:r w:rsidR="008520E5" w:rsidRPr="008520E5">
          <w:rPr>
            <w:rStyle w:val="Hyperlink"/>
            <w:sz w:val="20"/>
            <w:szCs w:val="20"/>
          </w:rPr>
          <w:t>o</w:t>
        </w:r>
        <w:r w:rsidR="008520E5" w:rsidRPr="008520E5">
          <w:rPr>
            <w:rStyle w:val="Hyperlink"/>
            <w:sz w:val="20"/>
            <w:szCs w:val="20"/>
          </w:rPr>
          <w:t>m/staroilco</w:t>
        </w:r>
      </w:hyperlink>
    </w:p>
    <w:p w14:paraId="0C8ED355" w14:textId="77777777" w:rsidR="004F47A7" w:rsidRPr="004F47A7" w:rsidRDefault="001032D3" w:rsidP="004F47A7">
      <w:pPr>
        <w:rPr>
          <w:sz w:val="20"/>
          <w:szCs w:val="20"/>
        </w:rPr>
      </w:pPr>
      <w:r w:rsidRPr="004F47A7">
        <w:rPr>
          <w:sz w:val="20"/>
          <w:szCs w:val="20"/>
        </w:rPr>
        <w:t xml:space="preserve">Facebook: </w:t>
      </w:r>
      <w:hyperlink r:id="rId9" w:history="1">
        <w:r w:rsidRPr="004F47A7">
          <w:rPr>
            <w:rStyle w:val="Hyperlink"/>
            <w:sz w:val="20"/>
            <w:szCs w:val="20"/>
          </w:rPr>
          <w:t>https://www.faceb</w:t>
        </w:r>
        <w:r w:rsidRPr="004F47A7">
          <w:rPr>
            <w:rStyle w:val="Hyperlink"/>
            <w:sz w:val="20"/>
            <w:szCs w:val="20"/>
          </w:rPr>
          <w:t>o</w:t>
        </w:r>
        <w:r w:rsidRPr="004F47A7">
          <w:rPr>
            <w:rStyle w:val="Hyperlink"/>
            <w:sz w:val="20"/>
            <w:szCs w:val="20"/>
          </w:rPr>
          <w:t>ok.com/StarOilco/</w:t>
        </w:r>
      </w:hyperlink>
    </w:p>
    <w:p w14:paraId="5E4E254A" w14:textId="77777777" w:rsidR="004F47A7" w:rsidRPr="004F47A7" w:rsidRDefault="004F47A7" w:rsidP="004F47A7">
      <w:pPr>
        <w:rPr>
          <w:sz w:val="20"/>
          <w:szCs w:val="20"/>
        </w:rPr>
      </w:pPr>
      <w:r w:rsidRPr="004F47A7">
        <w:rPr>
          <w:sz w:val="20"/>
          <w:szCs w:val="20"/>
        </w:rPr>
        <w:t xml:space="preserve">Instagram: </w:t>
      </w:r>
      <w:hyperlink r:id="rId10" w:history="1">
        <w:r w:rsidRPr="004F47A7">
          <w:rPr>
            <w:rStyle w:val="Hyperlink"/>
            <w:sz w:val="20"/>
            <w:szCs w:val="20"/>
          </w:rPr>
          <w:t>https://www.instagram.com/star</w:t>
        </w:r>
        <w:r w:rsidRPr="004F47A7">
          <w:rPr>
            <w:rStyle w:val="Hyperlink"/>
            <w:sz w:val="20"/>
            <w:szCs w:val="20"/>
          </w:rPr>
          <w:t>o</w:t>
        </w:r>
        <w:r w:rsidRPr="004F47A7">
          <w:rPr>
            <w:rStyle w:val="Hyperlink"/>
            <w:sz w:val="20"/>
            <w:szCs w:val="20"/>
          </w:rPr>
          <w:t>ilcopnw/</w:t>
        </w:r>
      </w:hyperlink>
    </w:p>
    <w:p w14:paraId="76F977AC" w14:textId="77777777" w:rsidR="004F47A7" w:rsidRPr="004F47A7" w:rsidRDefault="004F47A7" w:rsidP="004F47A7">
      <w:pPr>
        <w:rPr>
          <w:sz w:val="20"/>
          <w:szCs w:val="20"/>
        </w:rPr>
      </w:pPr>
      <w:r w:rsidRPr="004F47A7">
        <w:rPr>
          <w:sz w:val="20"/>
          <w:szCs w:val="20"/>
        </w:rPr>
        <w:t xml:space="preserve">Linkedin: </w:t>
      </w:r>
      <w:hyperlink r:id="rId11" w:history="1">
        <w:r w:rsidRPr="004F47A7">
          <w:rPr>
            <w:rStyle w:val="Hyperlink"/>
            <w:sz w:val="20"/>
            <w:szCs w:val="20"/>
          </w:rPr>
          <w:t>https://www.linkedin.com/com</w:t>
        </w:r>
        <w:r w:rsidRPr="004F47A7">
          <w:rPr>
            <w:rStyle w:val="Hyperlink"/>
            <w:sz w:val="20"/>
            <w:szCs w:val="20"/>
          </w:rPr>
          <w:t>p</w:t>
        </w:r>
        <w:r w:rsidRPr="004F47A7">
          <w:rPr>
            <w:rStyle w:val="Hyperlink"/>
            <w:sz w:val="20"/>
            <w:szCs w:val="20"/>
          </w:rPr>
          <w:t>any/star-oilco/</w:t>
        </w:r>
      </w:hyperlink>
    </w:p>
    <w:p w14:paraId="5B7101FC" w14:textId="77777777" w:rsidR="004F47A7" w:rsidRPr="004F47A7" w:rsidRDefault="004F47A7" w:rsidP="004F47A7">
      <w:pPr>
        <w:rPr>
          <w:sz w:val="20"/>
          <w:szCs w:val="20"/>
        </w:rPr>
      </w:pPr>
      <w:r w:rsidRPr="004F47A7">
        <w:rPr>
          <w:sz w:val="20"/>
          <w:szCs w:val="20"/>
        </w:rPr>
        <w:t xml:space="preserve">Fuel News: </w:t>
      </w:r>
    </w:p>
    <w:p w14:paraId="19660E2B" w14:textId="77777777" w:rsidR="004F47A7" w:rsidRPr="004F47A7" w:rsidRDefault="004F47A7" w:rsidP="004F47A7">
      <w:pPr>
        <w:rPr>
          <w:sz w:val="20"/>
          <w:szCs w:val="20"/>
        </w:rPr>
      </w:pPr>
      <w:r w:rsidRPr="004F47A7">
        <w:rPr>
          <w:sz w:val="20"/>
          <w:szCs w:val="20"/>
        </w:rPr>
        <w:t xml:space="preserve">Lowest Gas Prices on Memorial Day Since 2003: </w:t>
      </w:r>
    </w:p>
    <w:p w14:paraId="7B3A577E" w14:textId="77777777" w:rsidR="004F47A7" w:rsidRPr="004F47A7" w:rsidRDefault="004F47A7" w:rsidP="004F47A7">
      <w:pPr>
        <w:rPr>
          <w:sz w:val="20"/>
          <w:szCs w:val="20"/>
        </w:rPr>
      </w:pPr>
      <w:r w:rsidRPr="004F47A7">
        <w:rPr>
          <w:sz w:val="20"/>
          <w:szCs w:val="20"/>
        </w:rPr>
        <w:fldChar w:fldCharType="begin"/>
      </w:r>
      <w:r w:rsidRPr="004F47A7">
        <w:rPr>
          <w:sz w:val="20"/>
          <w:szCs w:val="20"/>
        </w:rPr>
        <w:instrText xml:space="preserve"> HYPERLINK "https://www.gasbuddy.com/go/memorial-day-gas-prices-2020/" </w:instrText>
      </w:r>
      <w:r w:rsidRPr="004F47A7">
        <w:rPr>
          <w:sz w:val="20"/>
          <w:szCs w:val="20"/>
        </w:rPr>
        <w:fldChar w:fldCharType="separate"/>
      </w:r>
      <w:r w:rsidRPr="004F47A7">
        <w:rPr>
          <w:rStyle w:val="Hyperlink"/>
          <w:sz w:val="20"/>
          <w:szCs w:val="20"/>
        </w:rPr>
        <w:t>https://www.gasbuddy.com/go/memorial-day-gas-prices-2020/</w:t>
      </w:r>
      <w:r w:rsidRPr="004F47A7">
        <w:rPr>
          <w:sz w:val="20"/>
          <w:szCs w:val="20"/>
        </w:rPr>
        <w:fldChar w:fldCharType="end"/>
      </w:r>
    </w:p>
    <w:p w14:paraId="083B6EBE" w14:textId="77777777" w:rsidR="004F47A7" w:rsidRPr="004F47A7" w:rsidRDefault="004F47A7" w:rsidP="004F47A7">
      <w:pPr>
        <w:rPr>
          <w:sz w:val="20"/>
          <w:szCs w:val="20"/>
        </w:rPr>
      </w:pPr>
      <w:r w:rsidRPr="004F47A7">
        <w:rPr>
          <w:sz w:val="20"/>
          <w:szCs w:val="20"/>
        </w:rPr>
        <w:t>Gas Prices Fluctuate Across the Country as More States Reopen:</w:t>
      </w:r>
    </w:p>
    <w:p w14:paraId="661A2AC1" w14:textId="65E22A1F" w:rsidR="004F47A7" w:rsidRPr="004F47A7" w:rsidRDefault="004F47A7" w:rsidP="004F47A7">
      <w:pPr>
        <w:rPr>
          <w:sz w:val="20"/>
          <w:szCs w:val="20"/>
        </w:rPr>
        <w:sectPr w:rsidR="004F47A7" w:rsidRPr="004F47A7" w:rsidSect="004F47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47A7">
        <w:rPr>
          <w:sz w:val="20"/>
          <w:szCs w:val="20"/>
        </w:rPr>
        <w:fldChar w:fldCharType="begin"/>
      </w:r>
      <w:r w:rsidRPr="004F47A7">
        <w:rPr>
          <w:sz w:val="20"/>
          <w:szCs w:val="20"/>
        </w:rPr>
        <w:instrText xml:space="preserve"> HYPERLINK "https://csnews.com/gas-prices-fluctuate-across-country-more-states-reopen" </w:instrText>
      </w:r>
      <w:r w:rsidRPr="004F47A7">
        <w:rPr>
          <w:sz w:val="20"/>
          <w:szCs w:val="20"/>
        </w:rPr>
        <w:fldChar w:fldCharType="separate"/>
      </w:r>
      <w:r w:rsidRPr="004F47A7">
        <w:rPr>
          <w:rStyle w:val="Hyperlink"/>
          <w:sz w:val="20"/>
          <w:szCs w:val="20"/>
        </w:rPr>
        <w:t>htt</w:t>
      </w:r>
      <w:r w:rsidRPr="004F47A7">
        <w:rPr>
          <w:rStyle w:val="Hyperlink"/>
          <w:sz w:val="20"/>
          <w:szCs w:val="20"/>
        </w:rPr>
        <w:t>p</w:t>
      </w:r>
      <w:r w:rsidRPr="004F47A7">
        <w:rPr>
          <w:rStyle w:val="Hyperlink"/>
          <w:sz w:val="20"/>
          <w:szCs w:val="20"/>
        </w:rPr>
        <w:t>s://csnews.com/gas-prices-fluctuate-across-country-more-states-reopen</w:t>
      </w:r>
      <w:r w:rsidRPr="004F47A7">
        <w:rPr>
          <w:sz w:val="20"/>
          <w:szCs w:val="20"/>
        </w:rPr>
        <w:fldChar w:fldCharType="end"/>
      </w:r>
    </w:p>
    <w:p w14:paraId="0275DBC9" w14:textId="66ABBF98" w:rsidR="004F47A7" w:rsidRDefault="004F47A7" w:rsidP="00A97DB7">
      <w:pPr>
        <w:tabs>
          <w:tab w:val="left" w:pos="2880"/>
        </w:tabs>
        <w:rPr>
          <w:sz w:val="20"/>
          <w:szCs w:val="20"/>
        </w:rPr>
      </w:pPr>
    </w:p>
    <w:p w14:paraId="7E7D5B93" w14:textId="77777777" w:rsidR="004F47A7" w:rsidRPr="00A423E3" w:rsidRDefault="004F47A7" w:rsidP="00146D21">
      <w:pPr>
        <w:rPr>
          <w:color w:val="0070C0"/>
          <w:sz w:val="16"/>
          <w:szCs w:val="16"/>
        </w:rPr>
      </w:pPr>
    </w:p>
    <w:sectPr w:rsidR="004F47A7" w:rsidRPr="00A423E3" w:rsidSect="0041620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B3D8" w14:textId="77777777" w:rsidR="00B20F2C" w:rsidRDefault="00B20F2C" w:rsidP="00146D21">
      <w:r>
        <w:separator/>
      </w:r>
    </w:p>
  </w:endnote>
  <w:endnote w:type="continuationSeparator" w:id="0">
    <w:p w14:paraId="4E64CECA" w14:textId="77777777" w:rsidR="00B20F2C" w:rsidRDefault="00B20F2C" w:rsidP="0014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CB277" w14:textId="77777777" w:rsidR="00B20F2C" w:rsidRDefault="00B20F2C" w:rsidP="00146D21">
      <w:r>
        <w:separator/>
      </w:r>
    </w:p>
  </w:footnote>
  <w:footnote w:type="continuationSeparator" w:id="0">
    <w:p w14:paraId="5D92D0E0" w14:textId="77777777" w:rsidR="00B20F2C" w:rsidRDefault="00B20F2C" w:rsidP="0014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0"/>
    <w:rsid w:val="00031516"/>
    <w:rsid w:val="00044EFE"/>
    <w:rsid w:val="00055B29"/>
    <w:rsid w:val="00057893"/>
    <w:rsid w:val="001032D3"/>
    <w:rsid w:val="00146D21"/>
    <w:rsid w:val="001F053C"/>
    <w:rsid w:val="00223BEF"/>
    <w:rsid w:val="00235E5E"/>
    <w:rsid w:val="002E6846"/>
    <w:rsid w:val="003746E3"/>
    <w:rsid w:val="0039462C"/>
    <w:rsid w:val="0041620A"/>
    <w:rsid w:val="004261FD"/>
    <w:rsid w:val="00436D82"/>
    <w:rsid w:val="004921D5"/>
    <w:rsid w:val="004F47A7"/>
    <w:rsid w:val="00502A33"/>
    <w:rsid w:val="0080774E"/>
    <w:rsid w:val="0084260A"/>
    <w:rsid w:val="0084596B"/>
    <w:rsid w:val="008520E5"/>
    <w:rsid w:val="00923351"/>
    <w:rsid w:val="009628D0"/>
    <w:rsid w:val="00966B40"/>
    <w:rsid w:val="00A349EC"/>
    <w:rsid w:val="00A423E3"/>
    <w:rsid w:val="00A97DB7"/>
    <w:rsid w:val="00B20F2C"/>
    <w:rsid w:val="00BA00A4"/>
    <w:rsid w:val="00BC60BC"/>
    <w:rsid w:val="00BC69AB"/>
    <w:rsid w:val="00C5231E"/>
    <w:rsid w:val="00CE1B54"/>
    <w:rsid w:val="00D42516"/>
    <w:rsid w:val="00E559E8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EF2"/>
  <w15:chartTrackingRefBased/>
  <w15:docId w15:val="{E7900F97-7F6B-774C-B316-3009A652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921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D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3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6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2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6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6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aroil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company/star-oilco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staroilcopn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tarOil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Rob</dc:creator>
  <cp:keywords/>
  <dc:description/>
  <cp:lastModifiedBy>Hughes, Rob</cp:lastModifiedBy>
  <cp:revision>5</cp:revision>
  <dcterms:created xsi:type="dcterms:W3CDTF">2020-05-27T19:39:00Z</dcterms:created>
  <dcterms:modified xsi:type="dcterms:W3CDTF">2020-05-28T23:58:00Z</dcterms:modified>
</cp:coreProperties>
</file>